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41" w:rsidRDefault="001B1E41" w:rsidP="005B29E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Sayın Üyemiz;</w:t>
      </w:r>
    </w:p>
    <w:p w:rsidR="001B1E41" w:rsidRPr="00A05C73" w:rsidRDefault="001B1E41" w:rsidP="005B29EE">
      <w:pPr>
        <w:spacing w:before="120" w:after="0" w:line="240" w:lineRule="auto"/>
        <w:jc w:val="both"/>
        <w:rPr>
          <w:rFonts w:ascii="Times New Roman" w:hAnsi="Times New Roman" w:cs="Times New Roman"/>
          <w:sz w:val="24"/>
          <w:szCs w:val="24"/>
        </w:rPr>
      </w:pPr>
      <w:r w:rsidRPr="00A05C73">
        <w:rPr>
          <w:rFonts w:ascii="Times New Roman" w:hAnsi="Times New Roman" w:cs="Times New Roman"/>
          <w:sz w:val="24"/>
          <w:szCs w:val="24"/>
        </w:rPr>
        <w:t xml:space="preserve">T.C Ziraat Bankası A.Ş. ve Tarım Kredi Kooperatiflerince Tarımsal Üretime Dair Düşük Faizli Yatırım ve İşletme Kredisi Kullandırılmasına İlişkin </w:t>
      </w:r>
      <w:r w:rsidRPr="00A05C73">
        <w:rPr>
          <w:rFonts w:ascii="Times New Roman" w:hAnsi="Times New Roman" w:cs="Times New Roman"/>
          <w:sz w:val="24"/>
          <w:szCs w:val="24"/>
        </w:rPr>
        <w:t xml:space="preserve">Uygulama Esasları Tebliğ(Tebliğ No:2016/8) 9 Mart 2016 tarih ve 29648 sayılı Resmi </w:t>
      </w:r>
      <w:proofErr w:type="spellStart"/>
      <w:r w:rsidRPr="00A05C73">
        <w:rPr>
          <w:rFonts w:ascii="Times New Roman" w:hAnsi="Times New Roman" w:cs="Times New Roman"/>
          <w:sz w:val="24"/>
          <w:szCs w:val="24"/>
        </w:rPr>
        <w:t>Gazete’de</w:t>
      </w:r>
      <w:proofErr w:type="spellEnd"/>
      <w:r w:rsidRPr="00A05C73">
        <w:rPr>
          <w:rFonts w:ascii="Times New Roman" w:hAnsi="Times New Roman" w:cs="Times New Roman"/>
          <w:sz w:val="24"/>
          <w:szCs w:val="24"/>
        </w:rPr>
        <w:t xml:space="preserve"> </w:t>
      </w:r>
      <w:r w:rsidRPr="00A05C73">
        <w:rPr>
          <w:rFonts w:ascii="Times New Roman" w:hAnsi="Times New Roman" w:cs="Times New Roman"/>
          <w:sz w:val="24"/>
          <w:szCs w:val="24"/>
        </w:rPr>
        <w:t>yayı</w:t>
      </w:r>
      <w:r w:rsidRPr="00A05C73">
        <w:rPr>
          <w:rFonts w:ascii="Times New Roman" w:hAnsi="Times New Roman" w:cs="Times New Roman"/>
          <w:sz w:val="24"/>
          <w:szCs w:val="24"/>
        </w:rPr>
        <w:t>m</w:t>
      </w:r>
      <w:r w:rsidRPr="00A05C73">
        <w:rPr>
          <w:rFonts w:ascii="Times New Roman" w:hAnsi="Times New Roman" w:cs="Times New Roman"/>
          <w:sz w:val="24"/>
          <w:szCs w:val="24"/>
        </w:rPr>
        <w:t>lanarak yürürlüğe girmiştir.</w:t>
      </w:r>
    </w:p>
    <w:p w:rsidR="003D68FF" w:rsidRDefault="001B1E41" w:rsidP="005B29EE">
      <w:pPr>
        <w:spacing w:before="120" w:after="0" w:line="240" w:lineRule="auto"/>
        <w:jc w:val="both"/>
        <w:rPr>
          <w:rFonts w:ascii="Times New Roman" w:hAnsi="Times New Roman" w:cs="Times New Roman"/>
          <w:sz w:val="24"/>
          <w:szCs w:val="24"/>
        </w:rPr>
      </w:pPr>
      <w:r w:rsidRPr="001B1E41">
        <w:rPr>
          <w:rFonts w:ascii="Times New Roman" w:hAnsi="Times New Roman" w:cs="Times New Roman"/>
          <w:sz w:val="24"/>
          <w:szCs w:val="24"/>
        </w:rPr>
        <w:t xml:space="preserve">Söz konusu Tebliğ; </w:t>
      </w:r>
      <w:proofErr w:type="gramStart"/>
      <w:r>
        <w:rPr>
          <w:rFonts w:ascii="Times New Roman" w:hAnsi="Times New Roman" w:cs="Times New Roman"/>
          <w:sz w:val="24"/>
          <w:szCs w:val="24"/>
        </w:rPr>
        <w:t>14/12/2015</w:t>
      </w:r>
      <w:proofErr w:type="gramEnd"/>
      <w:r>
        <w:rPr>
          <w:rFonts w:ascii="Times New Roman" w:hAnsi="Times New Roman" w:cs="Times New Roman"/>
          <w:sz w:val="24"/>
          <w:szCs w:val="24"/>
        </w:rPr>
        <w:t xml:space="preserve"> tarih</w:t>
      </w:r>
      <w:r w:rsidRPr="001B1E41">
        <w:rPr>
          <w:rFonts w:ascii="Times New Roman" w:hAnsi="Times New Roman" w:cs="Times New Roman"/>
          <w:sz w:val="24"/>
          <w:szCs w:val="24"/>
        </w:rPr>
        <w:t xml:space="preserve"> ve 2015/8299 sayılı Bakanlar Kurulu Kararı ile yürürlüğe konulan T.C. Ziraat Bankası A.Ş. ve Tarım Kredi Kooperatiflerince Tarımsal Üretime Dair Düşük Faizli Yatırım ve İşletme Kredisi Kullandırılmasına İli</w:t>
      </w:r>
      <w:r w:rsidRPr="001B1E41">
        <w:rPr>
          <w:rFonts w:ascii="Times New Roman" w:hAnsi="Times New Roman" w:cs="Times New Roman"/>
          <w:sz w:val="24"/>
          <w:szCs w:val="24"/>
        </w:rPr>
        <w:t>şkin Kararın uygulama esaslarını düzenlemektedir.</w:t>
      </w:r>
    </w:p>
    <w:p w:rsidR="00C01480" w:rsidRPr="00315C0E" w:rsidRDefault="005B29EE" w:rsidP="005B29EE">
      <w:pPr>
        <w:spacing w:before="120" w:after="0" w:line="240" w:lineRule="auto"/>
        <w:jc w:val="both"/>
        <w:rPr>
          <w:rFonts w:ascii="Times New Roman" w:hAnsi="Times New Roman" w:cs="Times New Roman"/>
          <w:i/>
          <w:sz w:val="24"/>
          <w:szCs w:val="24"/>
        </w:rPr>
      </w:pPr>
      <w:r w:rsidRPr="00315C0E">
        <w:rPr>
          <w:rFonts w:ascii="Times New Roman" w:hAnsi="Times New Roman" w:cs="Times New Roman"/>
          <w:i/>
          <w:sz w:val="24"/>
          <w:szCs w:val="24"/>
        </w:rPr>
        <w:t>-</w:t>
      </w:r>
      <w:r w:rsidR="00C01480" w:rsidRPr="00315C0E">
        <w:rPr>
          <w:rFonts w:ascii="Times New Roman" w:hAnsi="Times New Roman" w:cs="Times New Roman"/>
          <w:i/>
          <w:sz w:val="24"/>
          <w:szCs w:val="24"/>
        </w:rPr>
        <w:t>Süs bitkisi üreticilerinin karar kapsamında faiz indirimli kredi kullanabilmeleri için;</w:t>
      </w:r>
    </w:p>
    <w:p w:rsidR="00C01480" w:rsidRPr="00315C0E" w:rsidRDefault="00C01480" w:rsidP="005B29EE">
      <w:pPr>
        <w:spacing w:before="120" w:after="0" w:line="240" w:lineRule="auto"/>
        <w:ind w:left="708"/>
        <w:jc w:val="both"/>
        <w:rPr>
          <w:rFonts w:ascii="Times New Roman" w:hAnsi="Times New Roman" w:cs="Times New Roman"/>
          <w:i/>
          <w:sz w:val="24"/>
          <w:szCs w:val="24"/>
        </w:rPr>
      </w:pPr>
      <w:r w:rsidRPr="00315C0E">
        <w:rPr>
          <w:rFonts w:ascii="Times New Roman" w:hAnsi="Times New Roman" w:cs="Times New Roman"/>
          <w:i/>
          <w:sz w:val="24"/>
          <w:szCs w:val="24"/>
        </w:rPr>
        <w:t>a) Yurt 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C01480" w:rsidRPr="00315C0E" w:rsidRDefault="00C01480" w:rsidP="005B29EE">
      <w:pPr>
        <w:spacing w:before="120" w:after="0" w:line="240" w:lineRule="auto"/>
        <w:ind w:left="708"/>
        <w:jc w:val="both"/>
        <w:rPr>
          <w:rFonts w:ascii="Times New Roman" w:hAnsi="Times New Roman" w:cs="Times New Roman"/>
          <w:i/>
          <w:sz w:val="24"/>
          <w:szCs w:val="24"/>
        </w:rPr>
      </w:pPr>
      <w:r w:rsidRPr="00315C0E">
        <w:rPr>
          <w:rFonts w:ascii="Times New Roman" w:hAnsi="Times New Roman" w:cs="Times New Roman"/>
          <w:i/>
          <w:sz w:val="24"/>
          <w:szCs w:val="24"/>
        </w:rPr>
        <w:t>b) Tohumculuk Sektöründe Yetkilendirme ve Denetleme Yönetmeliği esaslarına göre Süs Bitkisi Üretici Belgesine ve Süs Bitkileri Üretim İşletmesi Kapasite Raporuna sahip olması,</w:t>
      </w:r>
    </w:p>
    <w:p w:rsidR="00C01480" w:rsidRPr="00315C0E" w:rsidRDefault="00C01480" w:rsidP="005B29EE">
      <w:pPr>
        <w:spacing w:before="120" w:after="0" w:line="240" w:lineRule="auto"/>
        <w:jc w:val="both"/>
        <w:rPr>
          <w:rFonts w:ascii="Times New Roman" w:hAnsi="Times New Roman" w:cs="Times New Roman"/>
          <w:i/>
          <w:sz w:val="24"/>
          <w:szCs w:val="24"/>
        </w:rPr>
      </w:pPr>
      <w:proofErr w:type="gramStart"/>
      <w:r w:rsidRPr="00315C0E">
        <w:rPr>
          <w:rFonts w:ascii="Times New Roman" w:hAnsi="Times New Roman" w:cs="Times New Roman"/>
          <w:i/>
          <w:sz w:val="24"/>
          <w:szCs w:val="24"/>
        </w:rPr>
        <w:t>gerekir</w:t>
      </w:r>
      <w:proofErr w:type="gramEnd"/>
      <w:r w:rsidRPr="00315C0E">
        <w:rPr>
          <w:rFonts w:ascii="Times New Roman" w:hAnsi="Times New Roman" w:cs="Times New Roman"/>
          <w:i/>
          <w:sz w:val="24"/>
          <w:szCs w:val="24"/>
        </w:rPr>
        <w:t>.</w:t>
      </w:r>
    </w:p>
    <w:p w:rsidR="00C01480" w:rsidRPr="00315C0E" w:rsidRDefault="005B29EE" w:rsidP="005B29EE">
      <w:pPr>
        <w:spacing w:before="120" w:after="0" w:line="240" w:lineRule="auto"/>
        <w:jc w:val="both"/>
        <w:rPr>
          <w:rFonts w:ascii="Times New Roman" w:hAnsi="Times New Roman" w:cs="Times New Roman"/>
          <w:i/>
          <w:sz w:val="24"/>
          <w:szCs w:val="24"/>
        </w:rPr>
      </w:pPr>
      <w:r w:rsidRPr="00315C0E">
        <w:rPr>
          <w:rFonts w:ascii="Times New Roman" w:hAnsi="Times New Roman" w:cs="Times New Roman"/>
          <w:i/>
          <w:sz w:val="24"/>
          <w:szCs w:val="24"/>
        </w:rPr>
        <w:t>-A</w:t>
      </w:r>
      <w:r w:rsidR="00C01480" w:rsidRPr="00315C0E">
        <w:rPr>
          <w:rFonts w:ascii="Times New Roman" w:hAnsi="Times New Roman" w:cs="Times New Roman"/>
          <w:i/>
          <w:sz w:val="24"/>
          <w:szCs w:val="24"/>
        </w:rPr>
        <w:t xml:space="preserve">yrı ayrı veya tek ünite olarak toplam 500 metrekare ve üzeri </w:t>
      </w:r>
      <w:proofErr w:type="spellStart"/>
      <w:r w:rsidR="00C01480" w:rsidRPr="00315C0E">
        <w:rPr>
          <w:rFonts w:ascii="Times New Roman" w:hAnsi="Times New Roman" w:cs="Times New Roman"/>
          <w:i/>
          <w:sz w:val="24"/>
          <w:szCs w:val="24"/>
        </w:rPr>
        <w:t>örtüaltı</w:t>
      </w:r>
      <w:proofErr w:type="spellEnd"/>
      <w:r w:rsidR="00C01480" w:rsidRPr="00315C0E">
        <w:rPr>
          <w:rFonts w:ascii="Times New Roman" w:hAnsi="Times New Roman" w:cs="Times New Roman"/>
          <w:i/>
          <w:sz w:val="24"/>
          <w:szCs w:val="24"/>
        </w:rPr>
        <w:t xml:space="preserve"> alanında bitkisel üretim yapan üreticiler, </w:t>
      </w:r>
      <w:proofErr w:type="spellStart"/>
      <w:r w:rsidR="00C01480" w:rsidRPr="00315C0E">
        <w:rPr>
          <w:rFonts w:ascii="Times New Roman" w:hAnsi="Times New Roman" w:cs="Times New Roman"/>
          <w:i/>
          <w:sz w:val="24"/>
          <w:szCs w:val="24"/>
        </w:rPr>
        <w:t>örtüaltı</w:t>
      </w:r>
      <w:proofErr w:type="spellEnd"/>
      <w:r w:rsidR="00C01480" w:rsidRPr="00315C0E">
        <w:rPr>
          <w:rFonts w:ascii="Times New Roman" w:hAnsi="Times New Roman" w:cs="Times New Roman"/>
          <w:i/>
          <w:sz w:val="24"/>
          <w:szCs w:val="24"/>
        </w:rPr>
        <w:t xml:space="preserve"> kayıt sistemine kayıt olmaları durumunda düşük faizli yatırım ve işletme kredisinden yararlandırılır.</w:t>
      </w:r>
    </w:p>
    <w:p w:rsidR="00C01480" w:rsidRPr="00315C0E" w:rsidRDefault="005B29EE" w:rsidP="005B29EE">
      <w:pPr>
        <w:spacing w:before="120" w:after="0" w:line="240" w:lineRule="auto"/>
        <w:jc w:val="both"/>
        <w:rPr>
          <w:rFonts w:ascii="Times New Roman" w:hAnsi="Times New Roman" w:cs="Times New Roman"/>
          <w:i/>
          <w:sz w:val="24"/>
          <w:szCs w:val="24"/>
        </w:rPr>
      </w:pPr>
      <w:proofErr w:type="gramStart"/>
      <w:r w:rsidRPr="00315C0E">
        <w:rPr>
          <w:rFonts w:ascii="Times New Roman" w:hAnsi="Times New Roman" w:cs="Times New Roman"/>
          <w:i/>
          <w:sz w:val="24"/>
          <w:szCs w:val="24"/>
        </w:rPr>
        <w:t>-</w:t>
      </w:r>
      <w:r w:rsidR="00C01480" w:rsidRPr="00315C0E">
        <w:rPr>
          <w:rFonts w:ascii="Times New Roman" w:hAnsi="Times New Roman" w:cs="Times New Roman"/>
          <w:i/>
          <w:sz w:val="24"/>
          <w:szCs w:val="24"/>
        </w:rPr>
        <w:t xml:space="preserve">Mevcut sera işletmelerinin teknik altyapısının iyileştirilmesi amacı ile ayrı ayrı veya tek ünite olarak toplam beş yüz metrekare ve üzeri alanda </w:t>
      </w:r>
      <w:proofErr w:type="spellStart"/>
      <w:r w:rsidR="00C01480" w:rsidRPr="00315C0E">
        <w:rPr>
          <w:rFonts w:ascii="Times New Roman" w:hAnsi="Times New Roman" w:cs="Times New Roman"/>
          <w:i/>
          <w:sz w:val="24"/>
          <w:szCs w:val="24"/>
        </w:rPr>
        <w:t>Örtüaltı</w:t>
      </w:r>
      <w:proofErr w:type="spellEnd"/>
      <w:r w:rsidR="00C01480" w:rsidRPr="00315C0E">
        <w:rPr>
          <w:rFonts w:ascii="Times New Roman" w:hAnsi="Times New Roman" w:cs="Times New Roman"/>
          <w:i/>
          <w:sz w:val="24"/>
          <w:szCs w:val="24"/>
        </w:rPr>
        <w:t xml:space="preserve"> Kayıt Sistemi Yönetmeliğine uygun olarak </w:t>
      </w:r>
      <w:proofErr w:type="spellStart"/>
      <w:r w:rsidR="00C01480" w:rsidRPr="00315C0E">
        <w:rPr>
          <w:rFonts w:ascii="Times New Roman" w:hAnsi="Times New Roman" w:cs="Times New Roman"/>
          <w:i/>
          <w:sz w:val="24"/>
          <w:szCs w:val="24"/>
        </w:rPr>
        <w:t>örtüaltı</w:t>
      </w:r>
      <w:proofErr w:type="spellEnd"/>
      <w:r w:rsidR="00C01480" w:rsidRPr="00315C0E">
        <w:rPr>
          <w:rFonts w:ascii="Times New Roman" w:hAnsi="Times New Roman" w:cs="Times New Roman"/>
          <w:i/>
          <w:sz w:val="24"/>
          <w:szCs w:val="24"/>
        </w:rPr>
        <w:t xml:space="preserve"> yetiştiriciliği yaptığı Bakanlıkça tespit edilen ve </w:t>
      </w:r>
      <w:proofErr w:type="spellStart"/>
      <w:r w:rsidR="00C01480" w:rsidRPr="00315C0E">
        <w:rPr>
          <w:rFonts w:ascii="Times New Roman" w:hAnsi="Times New Roman" w:cs="Times New Roman"/>
          <w:i/>
          <w:sz w:val="24"/>
          <w:szCs w:val="24"/>
        </w:rPr>
        <w:t>Örtüaltı</w:t>
      </w:r>
      <w:proofErr w:type="spellEnd"/>
      <w:r w:rsidR="00C01480" w:rsidRPr="00315C0E">
        <w:rPr>
          <w:rFonts w:ascii="Times New Roman" w:hAnsi="Times New Roman" w:cs="Times New Roman"/>
          <w:i/>
          <w:sz w:val="24"/>
          <w:szCs w:val="24"/>
        </w:rPr>
        <w:t xml:space="preserve"> Kayıt Sisteminde (ÖKS) kayıt altına alınmış olan işletmeler tarafından hazırlanan ve Bakanlık il/ilçe müdürlüklerince onaylanan projeleri çerçevesindeki yatırım ve işletme kredisi talepleri Karar kapsamında değerlendirilir.</w:t>
      </w:r>
      <w:proofErr w:type="gramEnd"/>
    </w:p>
    <w:p w:rsidR="005B29EE" w:rsidRPr="00315C0E" w:rsidRDefault="005B29EE" w:rsidP="005B29EE">
      <w:pPr>
        <w:spacing w:before="120" w:after="0" w:line="240" w:lineRule="auto"/>
        <w:jc w:val="both"/>
        <w:rPr>
          <w:rFonts w:ascii="Times New Roman" w:hAnsi="Times New Roman" w:cs="Times New Roman"/>
          <w:i/>
          <w:sz w:val="24"/>
          <w:szCs w:val="24"/>
        </w:rPr>
      </w:pPr>
      <w:r w:rsidRPr="00315C0E">
        <w:rPr>
          <w:rFonts w:ascii="Times New Roman" w:hAnsi="Times New Roman" w:cs="Times New Roman"/>
          <w:i/>
          <w:sz w:val="24"/>
          <w:szCs w:val="24"/>
        </w:rPr>
        <w:t xml:space="preserve">-7/12/2010 tarihli ve 27778 sayılı Resmî </w:t>
      </w:r>
      <w:proofErr w:type="spellStart"/>
      <w:r w:rsidRPr="00315C0E">
        <w:rPr>
          <w:rFonts w:ascii="Times New Roman" w:hAnsi="Times New Roman" w:cs="Times New Roman"/>
          <w:i/>
          <w:sz w:val="24"/>
          <w:szCs w:val="24"/>
        </w:rPr>
        <w:t>Gazete’de</w:t>
      </w:r>
      <w:proofErr w:type="spellEnd"/>
      <w:r w:rsidRPr="00315C0E">
        <w:rPr>
          <w:rFonts w:ascii="Times New Roman" w:hAnsi="Times New Roman" w:cs="Times New Roman"/>
          <w:i/>
          <w:sz w:val="24"/>
          <w:szCs w:val="24"/>
        </w:rPr>
        <w:t xml:space="preserve"> yayımlanan İyi Tarım Uygulamaları Hakkında Yönetmelik esasları </w:t>
      </w:r>
      <w:proofErr w:type="gramStart"/>
      <w:r w:rsidRPr="00315C0E">
        <w:rPr>
          <w:rFonts w:ascii="Times New Roman" w:hAnsi="Times New Roman" w:cs="Times New Roman"/>
          <w:i/>
          <w:sz w:val="24"/>
          <w:szCs w:val="24"/>
        </w:rPr>
        <w:t>dahilinde</w:t>
      </w:r>
      <w:proofErr w:type="gramEnd"/>
      <w:r w:rsidRPr="00315C0E">
        <w:rPr>
          <w:rFonts w:ascii="Times New Roman" w:hAnsi="Times New Roman" w:cs="Times New Roman"/>
          <w:i/>
          <w:sz w:val="24"/>
          <w:szCs w:val="24"/>
        </w:rPr>
        <w:t xml:space="preserv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5B29EE" w:rsidRPr="00315C0E" w:rsidRDefault="005B29EE" w:rsidP="005B29EE">
      <w:pPr>
        <w:spacing w:before="120" w:after="0" w:line="240" w:lineRule="auto"/>
        <w:jc w:val="both"/>
        <w:rPr>
          <w:rFonts w:ascii="Times New Roman" w:hAnsi="Times New Roman" w:cs="Times New Roman"/>
          <w:i/>
          <w:sz w:val="24"/>
          <w:szCs w:val="24"/>
        </w:rPr>
      </w:pPr>
      <w:r w:rsidRPr="00315C0E">
        <w:rPr>
          <w:rFonts w:ascii="Times New Roman" w:hAnsi="Times New Roman" w:cs="Times New Roman"/>
          <w:i/>
          <w:sz w:val="24"/>
          <w:szCs w:val="24"/>
        </w:rPr>
        <w:t>Konu başlıklarına göre indirim oranları ve kredi üst limitleri aşağıdaki tabloda verilmiştir.</w:t>
      </w:r>
    </w:p>
    <w:p w:rsidR="005B29EE" w:rsidRPr="00315C0E" w:rsidRDefault="005B29EE" w:rsidP="005B29EE">
      <w:pPr>
        <w:spacing w:before="120" w:after="0" w:line="240" w:lineRule="auto"/>
        <w:jc w:val="both"/>
        <w:rPr>
          <w:rFonts w:ascii="Times New Roman" w:hAnsi="Times New Roman" w:cs="Times New Roman"/>
          <w:i/>
          <w:sz w:val="24"/>
          <w:szCs w:val="24"/>
        </w:rPr>
      </w:pPr>
    </w:p>
    <w:tbl>
      <w:tblPr>
        <w:tblStyle w:val="TabloKlavuzu"/>
        <w:tblW w:w="5000" w:type="pct"/>
        <w:tblLook w:val="04A0" w:firstRow="1" w:lastRow="0" w:firstColumn="1" w:lastColumn="0" w:noHBand="0" w:noVBand="1"/>
      </w:tblPr>
      <w:tblGrid>
        <w:gridCol w:w="2518"/>
        <w:gridCol w:w="1843"/>
        <w:gridCol w:w="1843"/>
        <w:gridCol w:w="3084"/>
      </w:tblGrid>
      <w:tr w:rsidR="00C01480" w:rsidRPr="00315C0E" w:rsidTr="00C01480">
        <w:tc>
          <w:tcPr>
            <w:tcW w:w="1356" w:type="pct"/>
          </w:tcPr>
          <w:p w:rsidR="00C01480" w:rsidRPr="00315C0E" w:rsidRDefault="00C01480" w:rsidP="005B29EE">
            <w:pPr>
              <w:spacing w:before="120"/>
              <w:jc w:val="center"/>
              <w:rPr>
                <w:rFonts w:ascii="Times New Roman" w:hAnsi="Times New Roman" w:cs="Times New Roman"/>
                <w:b/>
                <w:sz w:val="24"/>
                <w:szCs w:val="24"/>
              </w:rPr>
            </w:pPr>
            <w:r w:rsidRPr="00315C0E">
              <w:rPr>
                <w:rFonts w:ascii="Times New Roman" w:hAnsi="Times New Roman" w:cs="Times New Roman"/>
                <w:b/>
                <w:sz w:val="24"/>
                <w:szCs w:val="24"/>
              </w:rPr>
              <w:t>Kredi Konuları</w:t>
            </w:r>
          </w:p>
        </w:tc>
        <w:tc>
          <w:tcPr>
            <w:tcW w:w="1984" w:type="pct"/>
            <w:gridSpan w:val="2"/>
          </w:tcPr>
          <w:p w:rsidR="00C01480" w:rsidRPr="00315C0E" w:rsidRDefault="00C01480" w:rsidP="005B29EE">
            <w:pPr>
              <w:spacing w:before="120"/>
              <w:jc w:val="center"/>
              <w:rPr>
                <w:rFonts w:ascii="Times New Roman" w:hAnsi="Times New Roman" w:cs="Times New Roman"/>
                <w:b/>
                <w:sz w:val="24"/>
                <w:szCs w:val="24"/>
              </w:rPr>
            </w:pPr>
            <w:r w:rsidRPr="00315C0E">
              <w:rPr>
                <w:rFonts w:ascii="Times New Roman" w:hAnsi="Times New Roman" w:cs="Times New Roman"/>
                <w:b/>
                <w:sz w:val="24"/>
                <w:szCs w:val="24"/>
              </w:rPr>
              <w:t>İndirim Oranı (%)</w:t>
            </w:r>
          </w:p>
        </w:tc>
        <w:tc>
          <w:tcPr>
            <w:tcW w:w="1660" w:type="pct"/>
          </w:tcPr>
          <w:p w:rsidR="00C01480" w:rsidRPr="00315C0E" w:rsidRDefault="00C01480" w:rsidP="005B29EE">
            <w:pPr>
              <w:spacing w:before="120"/>
              <w:jc w:val="center"/>
              <w:rPr>
                <w:rFonts w:ascii="Times New Roman" w:hAnsi="Times New Roman" w:cs="Times New Roman"/>
                <w:b/>
                <w:sz w:val="24"/>
                <w:szCs w:val="24"/>
              </w:rPr>
            </w:pPr>
            <w:r w:rsidRPr="00315C0E">
              <w:rPr>
                <w:rFonts w:ascii="Times New Roman" w:hAnsi="Times New Roman" w:cs="Times New Roman"/>
                <w:b/>
                <w:sz w:val="24"/>
                <w:szCs w:val="24"/>
              </w:rPr>
              <w:t>Kredi Üst Limiti (TL)</w:t>
            </w:r>
          </w:p>
        </w:tc>
      </w:tr>
      <w:tr w:rsidR="00C01480" w:rsidRPr="00315C0E" w:rsidTr="00C01480">
        <w:tc>
          <w:tcPr>
            <w:tcW w:w="1356" w:type="pct"/>
          </w:tcPr>
          <w:p w:rsidR="00C01480" w:rsidRPr="00315C0E" w:rsidRDefault="00C01480" w:rsidP="005B29EE">
            <w:pPr>
              <w:spacing w:before="120"/>
              <w:jc w:val="both"/>
              <w:rPr>
                <w:rFonts w:ascii="Times New Roman" w:hAnsi="Times New Roman" w:cs="Times New Roman"/>
                <w:b/>
                <w:sz w:val="24"/>
                <w:szCs w:val="24"/>
              </w:rPr>
            </w:pPr>
          </w:p>
        </w:tc>
        <w:tc>
          <w:tcPr>
            <w:tcW w:w="992" w:type="pct"/>
          </w:tcPr>
          <w:p w:rsidR="00C01480" w:rsidRPr="00315C0E" w:rsidRDefault="00C01480" w:rsidP="005B29EE">
            <w:pPr>
              <w:spacing w:before="120"/>
              <w:jc w:val="both"/>
              <w:rPr>
                <w:rFonts w:ascii="Times New Roman" w:hAnsi="Times New Roman" w:cs="Times New Roman"/>
                <w:b/>
                <w:sz w:val="24"/>
                <w:szCs w:val="24"/>
              </w:rPr>
            </w:pPr>
            <w:r w:rsidRPr="00315C0E">
              <w:rPr>
                <w:rFonts w:ascii="Times New Roman" w:hAnsi="Times New Roman" w:cs="Times New Roman"/>
                <w:b/>
                <w:sz w:val="24"/>
                <w:szCs w:val="24"/>
              </w:rPr>
              <w:t>Yatırım Dönemi</w:t>
            </w:r>
          </w:p>
        </w:tc>
        <w:tc>
          <w:tcPr>
            <w:tcW w:w="992" w:type="pct"/>
          </w:tcPr>
          <w:p w:rsidR="00C01480" w:rsidRPr="00315C0E" w:rsidRDefault="00C01480" w:rsidP="005B29EE">
            <w:pPr>
              <w:spacing w:before="120"/>
              <w:jc w:val="both"/>
              <w:rPr>
                <w:rFonts w:ascii="Times New Roman" w:hAnsi="Times New Roman" w:cs="Times New Roman"/>
                <w:b/>
                <w:sz w:val="24"/>
                <w:szCs w:val="24"/>
              </w:rPr>
            </w:pPr>
            <w:r w:rsidRPr="00315C0E">
              <w:rPr>
                <w:rFonts w:ascii="Times New Roman" w:hAnsi="Times New Roman" w:cs="Times New Roman"/>
                <w:b/>
                <w:sz w:val="24"/>
                <w:szCs w:val="24"/>
              </w:rPr>
              <w:t>İşletme Dönemi/kredisi</w:t>
            </w:r>
          </w:p>
        </w:tc>
        <w:tc>
          <w:tcPr>
            <w:tcW w:w="1660" w:type="pct"/>
          </w:tcPr>
          <w:p w:rsidR="00C01480" w:rsidRPr="00315C0E" w:rsidRDefault="00C01480" w:rsidP="005B29EE">
            <w:pPr>
              <w:spacing w:before="120"/>
              <w:jc w:val="both"/>
              <w:rPr>
                <w:rFonts w:ascii="Times New Roman" w:hAnsi="Times New Roman" w:cs="Times New Roman"/>
                <w:b/>
                <w:sz w:val="24"/>
                <w:szCs w:val="24"/>
              </w:rPr>
            </w:pPr>
          </w:p>
        </w:tc>
      </w:tr>
      <w:tr w:rsidR="00C01480" w:rsidRPr="00315C0E" w:rsidTr="00C01480">
        <w:tc>
          <w:tcPr>
            <w:tcW w:w="1356" w:type="pct"/>
          </w:tcPr>
          <w:p w:rsidR="00C01480" w:rsidRPr="00315C0E" w:rsidRDefault="00C01480" w:rsidP="005B29EE">
            <w:pPr>
              <w:spacing w:before="120"/>
              <w:jc w:val="both"/>
              <w:rPr>
                <w:rFonts w:ascii="Times New Roman" w:hAnsi="Times New Roman" w:cs="Times New Roman"/>
                <w:sz w:val="24"/>
                <w:szCs w:val="24"/>
              </w:rPr>
            </w:pPr>
            <w:r w:rsidRPr="00315C0E">
              <w:rPr>
                <w:rFonts w:ascii="Times New Roman" w:hAnsi="Times New Roman" w:cs="Times New Roman"/>
                <w:sz w:val="24"/>
                <w:szCs w:val="24"/>
              </w:rPr>
              <w:t>Süs Bitkisi Üretimi</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w:t>
            </w:r>
          </w:p>
        </w:tc>
        <w:tc>
          <w:tcPr>
            <w:tcW w:w="1660"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2.500.000</w:t>
            </w:r>
          </w:p>
        </w:tc>
      </w:tr>
      <w:tr w:rsidR="00C01480" w:rsidRPr="00315C0E" w:rsidTr="00C01480">
        <w:tc>
          <w:tcPr>
            <w:tcW w:w="1356" w:type="pct"/>
          </w:tcPr>
          <w:p w:rsidR="00C01480" w:rsidRPr="00315C0E" w:rsidRDefault="00C01480" w:rsidP="005B29EE">
            <w:pPr>
              <w:spacing w:before="120"/>
              <w:jc w:val="both"/>
              <w:rPr>
                <w:rFonts w:ascii="Times New Roman" w:hAnsi="Times New Roman" w:cs="Times New Roman"/>
                <w:sz w:val="24"/>
                <w:szCs w:val="24"/>
              </w:rPr>
            </w:pPr>
            <w:r w:rsidRPr="00315C0E">
              <w:rPr>
                <w:rFonts w:ascii="Times New Roman" w:hAnsi="Times New Roman" w:cs="Times New Roman"/>
                <w:sz w:val="24"/>
                <w:szCs w:val="24"/>
              </w:rPr>
              <w:t>Sera Modernizasyonu</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100</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w:t>
            </w:r>
          </w:p>
        </w:tc>
        <w:tc>
          <w:tcPr>
            <w:tcW w:w="1660"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100.000</w:t>
            </w:r>
          </w:p>
        </w:tc>
      </w:tr>
      <w:tr w:rsidR="00C01480" w:rsidRPr="00315C0E" w:rsidTr="00C01480">
        <w:tc>
          <w:tcPr>
            <w:tcW w:w="1356" w:type="pct"/>
          </w:tcPr>
          <w:p w:rsidR="00C01480" w:rsidRPr="00315C0E" w:rsidRDefault="00C01480" w:rsidP="005B29EE">
            <w:pPr>
              <w:spacing w:before="120"/>
              <w:jc w:val="both"/>
              <w:rPr>
                <w:rFonts w:ascii="Times New Roman" w:hAnsi="Times New Roman" w:cs="Times New Roman"/>
                <w:sz w:val="24"/>
                <w:szCs w:val="24"/>
              </w:rPr>
            </w:pPr>
            <w:r w:rsidRPr="00315C0E">
              <w:rPr>
                <w:rFonts w:ascii="Times New Roman" w:hAnsi="Times New Roman" w:cs="Times New Roman"/>
                <w:sz w:val="24"/>
                <w:szCs w:val="24"/>
              </w:rPr>
              <w:t xml:space="preserve">İyi </w:t>
            </w:r>
            <w:r w:rsidRPr="00315C0E">
              <w:rPr>
                <w:rFonts w:ascii="Times New Roman" w:hAnsi="Times New Roman" w:cs="Times New Roman"/>
                <w:sz w:val="24"/>
                <w:szCs w:val="24"/>
              </w:rPr>
              <w:t xml:space="preserve">Tarım </w:t>
            </w:r>
            <w:r w:rsidRPr="00315C0E">
              <w:rPr>
                <w:rFonts w:ascii="Times New Roman" w:hAnsi="Times New Roman" w:cs="Times New Roman"/>
                <w:sz w:val="24"/>
                <w:szCs w:val="24"/>
              </w:rPr>
              <w:t>U</w:t>
            </w:r>
            <w:r w:rsidRPr="00315C0E">
              <w:rPr>
                <w:rFonts w:ascii="Times New Roman" w:hAnsi="Times New Roman" w:cs="Times New Roman"/>
                <w:sz w:val="24"/>
                <w:szCs w:val="24"/>
              </w:rPr>
              <w:t>ygulamaları</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w:t>
            </w:r>
          </w:p>
        </w:tc>
        <w:tc>
          <w:tcPr>
            <w:tcW w:w="992"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w:t>
            </w:r>
          </w:p>
        </w:tc>
        <w:tc>
          <w:tcPr>
            <w:tcW w:w="1660" w:type="pct"/>
          </w:tcPr>
          <w:p w:rsidR="00C01480" w:rsidRPr="00315C0E" w:rsidRDefault="00C01480" w:rsidP="005B29EE">
            <w:pPr>
              <w:spacing w:before="120"/>
              <w:jc w:val="center"/>
              <w:rPr>
                <w:rFonts w:ascii="Times New Roman" w:hAnsi="Times New Roman" w:cs="Times New Roman"/>
                <w:sz w:val="24"/>
                <w:szCs w:val="24"/>
              </w:rPr>
            </w:pPr>
            <w:r w:rsidRPr="00315C0E">
              <w:rPr>
                <w:rFonts w:ascii="Times New Roman" w:hAnsi="Times New Roman" w:cs="Times New Roman"/>
                <w:sz w:val="24"/>
                <w:szCs w:val="24"/>
              </w:rPr>
              <w:t>5.000.000</w:t>
            </w:r>
          </w:p>
        </w:tc>
      </w:tr>
    </w:tbl>
    <w:p w:rsidR="001B1E41" w:rsidRPr="00315C0E" w:rsidRDefault="001B1E41" w:rsidP="005B29EE">
      <w:pPr>
        <w:spacing w:before="120" w:after="0" w:line="240" w:lineRule="auto"/>
        <w:jc w:val="both"/>
        <w:rPr>
          <w:rFonts w:ascii="Times New Roman" w:hAnsi="Times New Roman" w:cs="Times New Roman"/>
          <w:i/>
          <w:sz w:val="24"/>
          <w:szCs w:val="24"/>
        </w:rPr>
      </w:pPr>
    </w:p>
    <w:p w:rsidR="001B1E41" w:rsidRPr="00315C0E" w:rsidRDefault="001B1E41" w:rsidP="005B29EE">
      <w:pPr>
        <w:pStyle w:val="metin"/>
        <w:spacing w:before="0" w:beforeAutospacing="0" w:after="0" w:afterAutospacing="0" w:line="240" w:lineRule="atLeast"/>
        <w:jc w:val="both"/>
        <w:rPr>
          <w:rFonts w:eastAsiaTheme="minorHAnsi"/>
          <w:i/>
          <w:lang w:eastAsia="en-US"/>
        </w:rPr>
      </w:pPr>
      <w:r w:rsidRPr="00315C0E">
        <w:rPr>
          <w:rFonts w:eastAsiaTheme="minorHAnsi"/>
          <w:i/>
          <w:lang w:eastAsia="en-US"/>
        </w:rPr>
        <w:t xml:space="preserve">Karar kapsamındaki yatırım ve işletme kredisi başvuruları, </w:t>
      </w:r>
      <w:r w:rsidR="005B29EE" w:rsidRPr="00315C0E">
        <w:rPr>
          <w:rFonts w:eastAsiaTheme="minorHAnsi"/>
          <w:i/>
          <w:lang w:eastAsia="en-US"/>
        </w:rPr>
        <w:t>T.C. Ziraat Bankası ve Tarım Kredi Kooperatiflerine(TKK) yapılır</w:t>
      </w:r>
      <w:r w:rsidRPr="00315C0E">
        <w:rPr>
          <w:rFonts w:eastAsiaTheme="minorHAnsi"/>
          <w:i/>
          <w:lang w:eastAsia="en-US"/>
        </w:rPr>
        <w:t xml:space="preserve">. Başvurular Banka ve </w:t>
      </w:r>
      <w:proofErr w:type="spellStart"/>
      <w:r w:rsidRPr="00315C0E">
        <w:rPr>
          <w:rFonts w:eastAsiaTheme="minorHAnsi"/>
          <w:i/>
          <w:lang w:eastAsia="en-US"/>
        </w:rPr>
        <w:t>TKK’nın</w:t>
      </w:r>
      <w:proofErr w:type="spellEnd"/>
      <w:r w:rsidRPr="00315C0E">
        <w:rPr>
          <w:rFonts w:eastAsiaTheme="minorHAnsi"/>
          <w:i/>
          <w:lang w:eastAsia="en-US"/>
        </w:rPr>
        <w:t xml:space="preserve"> kendi usul, esas ve mevzuatları </w:t>
      </w:r>
      <w:proofErr w:type="gramStart"/>
      <w:r w:rsidRPr="00315C0E">
        <w:rPr>
          <w:rFonts w:eastAsiaTheme="minorHAnsi"/>
          <w:i/>
          <w:lang w:eastAsia="en-US"/>
        </w:rPr>
        <w:t>dahilinde</w:t>
      </w:r>
      <w:proofErr w:type="gramEnd"/>
      <w:r w:rsidRPr="00315C0E">
        <w:rPr>
          <w:rFonts w:eastAsiaTheme="minorHAnsi"/>
          <w:i/>
          <w:lang w:eastAsia="en-US"/>
        </w:rPr>
        <w:t xml:space="preserve"> değerlendirilir ve uygun bulunanlara kredi kullandırılır.</w:t>
      </w:r>
    </w:p>
    <w:p w:rsidR="005B29EE" w:rsidRPr="00315C0E" w:rsidRDefault="005B29EE" w:rsidP="005B29EE">
      <w:pPr>
        <w:pStyle w:val="metin"/>
        <w:spacing w:before="0" w:beforeAutospacing="0" w:after="0" w:afterAutospacing="0" w:line="240" w:lineRule="atLeast"/>
        <w:ind w:firstLine="566"/>
        <w:jc w:val="both"/>
        <w:rPr>
          <w:rFonts w:eastAsiaTheme="minorHAnsi"/>
          <w:i/>
          <w:lang w:eastAsia="en-US"/>
        </w:rPr>
      </w:pPr>
      <w:bookmarkStart w:id="0" w:name="_GoBack"/>
      <w:bookmarkEnd w:id="0"/>
    </w:p>
    <w:p w:rsidR="001B1E41" w:rsidRPr="00315C0E" w:rsidRDefault="001B1E41" w:rsidP="005B29EE">
      <w:pPr>
        <w:pStyle w:val="metin"/>
        <w:spacing w:before="0" w:beforeAutospacing="0" w:after="0" w:afterAutospacing="0" w:line="240" w:lineRule="atLeast"/>
        <w:jc w:val="both"/>
        <w:rPr>
          <w:rFonts w:eastAsiaTheme="minorHAnsi"/>
          <w:i/>
          <w:lang w:eastAsia="en-US"/>
        </w:rPr>
      </w:pPr>
      <w:r w:rsidRPr="00315C0E">
        <w:rPr>
          <w:rFonts w:eastAsiaTheme="minorHAnsi"/>
          <w:i/>
          <w:lang w:eastAsia="en-US"/>
        </w:rPr>
        <w:lastRenderedPageBreak/>
        <w:t>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sırasında verilir.</w:t>
      </w:r>
    </w:p>
    <w:p w:rsidR="001B1E41" w:rsidRPr="00315C0E" w:rsidRDefault="005B29EE" w:rsidP="005B29EE">
      <w:pPr>
        <w:spacing w:before="120" w:after="0" w:line="240" w:lineRule="auto"/>
        <w:jc w:val="both"/>
        <w:rPr>
          <w:rFonts w:ascii="Times New Roman" w:hAnsi="Times New Roman" w:cs="Times New Roman"/>
          <w:i/>
          <w:sz w:val="24"/>
          <w:szCs w:val="24"/>
        </w:rPr>
      </w:pPr>
      <w:r w:rsidRPr="00315C0E">
        <w:rPr>
          <w:rFonts w:ascii="Times New Roman" w:hAnsi="Times New Roman" w:cs="Times New Roman"/>
          <w:i/>
          <w:sz w:val="24"/>
          <w:szCs w:val="24"/>
        </w:rPr>
        <w:t xml:space="preserve">Tebliğ </w:t>
      </w:r>
      <w:proofErr w:type="gramStart"/>
      <w:r w:rsidRPr="00315C0E">
        <w:rPr>
          <w:rFonts w:ascii="Times New Roman" w:hAnsi="Times New Roman" w:cs="Times New Roman"/>
          <w:i/>
          <w:sz w:val="24"/>
          <w:szCs w:val="24"/>
        </w:rPr>
        <w:t>1/1/2016</w:t>
      </w:r>
      <w:proofErr w:type="gramEnd"/>
      <w:r w:rsidRPr="00315C0E">
        <w:rPr>
          <w:rFonts w:ascii="Times New Roman" w:hAnsi="Times New Roman" w:cs="Times New Roman"/>
          <w:i/>
          <w:sz w:val="24"/>
          <w:szCs w:val="24"/>
        </w:rPr>
        <w:t xml:space="preserve"> tarihinden itibaren geçerli olmak üzere yayımı tarihinde yürürlüğe girmiş olup, ayrıntılı bilgiye yazımız ekinde verdiğimiz tebliğ ve eklerinde ulaşılabilir.</w:t>
      </w:r>
    </w:p>
    <w:p w:rsidR="005B29EE" w:rsidRPr="001B1E41" w:rsidRDefault="005B29EE" w:rsidP="005B29E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Saygılarımla.</w:t>
      </w:r>
    </w:p>
    <w:sectPr w:rsidR="005B29EE" w:rsidRPr="001B1E41" w:rsidSect="005B29EE">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41"/>
    <w:rsid w:val="001B1E41"/>
    <w:rsid w:val="00315C0E"/>
    <w:rsid w:val="003D68FF"/>
    <w:rsid w:val="005B29EE"/>
    <w:rsid w:val="00A05C73"/>
    <w:rsid w:val="00C01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4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1B1E4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C01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4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1B1E4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C01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2016-03-09T10:28:00Z</dcterms:created>
  <dcterms:modified xsi:type="dcterms:W3CDTF">2016-03-09T11:08:00Z</dcterms:modified>
</cp:coreProperties>
</file>